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3B26E7" w:rsidRPr="00872BA2" w:rsidTr="00655C9E">
        <w:tc>
          <w:tcPr>
            <w:tcW w:w="7574" w:type="dxa"/>
            <w:gridSpan w:val="2"/>
            <w:shd w:val="clear" w:color="auto" w:fill="FFC000"/>
          </w:tcPr>
          <w:p w:rsidR="003B26E7" w:rsidRPr="00872BA2" w:rsidRDefault="003B26E7" w:rsidP="00655C9E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3B26E7" w:rsidRPr="00872BA2" w:rsidTr="00655C9E">
        <w:tc>
          <w:tcPr>
            <w:tcW w:w="3964" w:type="dxa"/>
          </w:tcPr>
          <w:p w:rsidR="003B26E7" w:rsidRPr="00872BA2" w:rsidRDefault="003B26E7" w:rsidP="00655C9E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3B26E7" w:rsidRPr="00872BA2" w:rsidRDefault="003B26E7" w:rsidP="00655C9E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3B26E7" w:rsidRPr="00872BA2" w:rsidTr="00655C9E">
        <w:tc>
          <w:tcPr>
            <w:tcW w:w="396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B26E7" w:rsidRPr="00872BA2" w:rsidTr="00655C9E">
        <w:tc>
          <w:tcPr>
            <w:tcW w:w="3964" w:type="dxa"/>
            <w:shd w:val="clear" w:color="auto" w:fill="FFFFFF" w:themeFill="background1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, психиатр детский,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shd w:val="clear" w:color="auto" w:fill="FFFFFF" w:themeFill="background1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B26E7" w:rsidRPr="00872BA2" w:rsidTr="00655C9E">
        <w:tc>
          <w:tcPr>
            <w:tcW w:w="3964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 xml:space="preserve">: невролог,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B26E7" w:rsidRPr="00872BA2" w:rsidTr="00655C9E">
        <w:tc>
          <w:tcPr>
            <w:tcW w:w="7574" w:type="dxa"/>
            <w:gridSpan w:val="2"/>
            <w:shd w:val="clear" w:color="auto" w:fill="FFC000"/>
          </w:tcPr>
          <w:p w:rsidR="003B26E7" w:rsidRPr="00872BA2" w:rsidRDefault="003B26E7" w:rsidP="00655C9E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3B26E7" w:rsidRPr="00872BA2" w:rsidTr="00655C9E">
        <w:tc>
          <w:tcPr>
            <w:tcW w:w="3964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B26E7" w:rsidRPr="00872BA2" w:rsidTr="00655C9E">
        <w:tc>
          <w:tcPr>
            <w:tcW w:w="3964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B26E7" w:rsidRPr="00872BA2" w:rsidTr="00655C9E">
        <w:tc>
          <w:tcPr>
            <w:tcW w:w="3964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B26E7" w:rsidRPr="00872BA2" w:rsidTr="00655C9E">
        <w:tc>
          <w:tcPr>
            <w:tcW w:w="3964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B26E7" w:rsidRPr="00872BA2" w:rsidTr="00655C9E">
        <w:tc>
          <w:tcPr>
            <w:tcW w:w="7574" w:type="dxa"/>
            <w:gridSpan w:val="2"/>
            <w:shd w:val="clear" w:color="auto" w:fill="FFC000"/>
          </w:tcPr>
          <w:p w:rsidR="003B26E7" w:rsidRPr="00872BA2" w:rsidRDefault="003B26E7" w:rsidP="00655C9E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3B26E7" w:rsidRPr="00872BA2" w:rsidTr="00655C9E">
        <w:tc>
          <w:tcPr>
            <w:tcW w:w="3964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 xml:space="preserve">, детский эндокринолог, невролог,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  <w:proofErr w:type="gramEnd"/>
          </w:p>
        </w:tc>
        <w:tc>
          <w:tcPr>
            <w:tcW w:w="3610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B26E7" w:rsidRPr="00872BA2" w:rsidTr="00655C9E">
        <w:tc>
          <w:tcPr>
            <w:tcW w:w="3964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3B26E7" w:rsidRPr="00872BA2" w:rsidTr="00655C9E">
        <w:tc>
          <w:tcPr>
            <w:tcW w:w="3964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3B26E7" w:rsidRPr="00872BA2" w:rsidTr="00655C9E">
        <w:tc>
          <w:tcPr>
            <w:tcW w:w="3964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3B26E7" w:rsidRPr="00872BA2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3B26E7" w:rsidRPr="00872BA2" w:rsidRDefault="003B26E7" w:rsidP="003B26E7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</w:p>
    <w:p w:rsidR="003B26E7" w:rsidRPr="00240C83" w:rsidRDefault="003B26E7" w:rsidP="003B26E7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lastRenderedPageBreak/>
        <w:t>Министерство здравоохранения Тульской области</w:t>
      </w:r>
    </w:p>
    <w:p w:rsidR="003B26E7" w:rsidRPr="00240C83" w:rsidRDefault="003B26E7" w:rsidP="003B26E7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3B26E7" w:rsidRPr="00A84F2A" w:rsidRDefault="003B26E7" w:rsidP="003B26E7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3B26E7" w:rsidRPr="00A84F2A" w:rsidRDefault="003B26E7" w:rsidP="003B26E7">
      <w:pPr>
        <w:jc w:val="center"/>
        <w:rPr>
          <w:rFonts w:ascii="PT Astra Serif" w:hAnsi="PT Astra Serif"/>
          <w:b/>
          <w:i/>
        </w:rPr>
      </w:pP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</w:rPr>
      </w:pPr>
    </w:p>
    <w:p w:rsidR="003B26E7" w:rsidRPr="007460C6" w:rsidRDefault="003B26E7" w:rsidP="003B26E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>Позаботьтесь о здоровье</w:t>
      </w:r>
    </w:p>
    <w:p w:rsidR="003B26E7" w:rsidRPr="005F4C43" w:rsidRDefault="003B26E7" w:rsidP="003B26E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 xml:space="preserve"> своих детей – пройдите с ними профилактический медицинский осмотр!</w:t>
      </w:r>
    </w:p>
    <w:p w:rsidR="003B26E7" w:rsidRPr="00A84F2A" w:rsidRDefault="003B26E7" w:rsidP="003B26E7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</w:rPr>
      </w:pP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295775" cy="2743200"/>
            <wp:effectExtent l="19050" t="0" r="9525" b="0"/>
            <wp:docPr id="1" name="Рисунок 1" descr="http://zdorovie-rebionka.brest.by/files/spaw/images/plakaty/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-rebionka.brest.by/files/spaw/images/plakaty/7_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</w:rPr>
      </w:pP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</w:rPr>
      </w:pPr>
    </w:p>
    <w:p w:rsidR="003B26E7" w:rsidRPr="00CA7AC8" w:rsidRDefault="003B26E7" w:rsidP="003B26E7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3B26E7" w:rsidRPr="00A84F2A" w:rsidRDefault="00585FC1" w:rsidP="003B26E7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- 2020</w:t>
      </w:r>
      <w:bookmarkStart w:id="0" w:name="_GoBack"/>
      <w:bookmarkEnd w:id="0"/>
    </w:p>
    <w:p w:rsidR="003B26E7" w:rsidRDefault="003B26E7" w:rsidP="003B26E7">
      <w:pPr>
        <w:ind w:firstLine="709"/>
        <w:jc w:val="center"/>
        <w:rPr>
          <w:rFonts w:ascii="PT Astra Serif" w:hAnsi="PT Astra Serif"/>
          <w:b/>
          <w:i/>
        </w:rPr>
      </w:pPr>
    </w:p>
    <w:p w:rsidR="003B26E7" w:rsidRPr="00A84F2A" w:rsidRDefault="003B26E7" w:rsidP="003B26E7">
      <w:pPr>
        <w:ind w:firstLine="709"/>
        <w:jc w:val="center"/>
        <w:rPr>
          <w:rFonts w:ascii="PT Astra Serif" w:hAnsi="PT Astra Serif"/>
          <w:b/>
          <w:i/>
        </w:rPr>
      </w:pPr>
    </w:p>
    <w:p w:rsidR="003B26E7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3B26E7" w:rsidRPr="005F4BF2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3B26E7" w:rsidRPr="00A84F2A" w:rsidRDefault="003B26E7" w:rsidP="003B26E7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3B26E7" w:rsidRDefault="003B26E7" w:rsidP="003B26E7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3B26E7" w:rsidRPr="00C01197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3B26E7" w:rsidRPr="00A84F2A" w:rsidRDefault="003B26E7" w:rsidP="003B26E7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3B26E7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3B26E7" w:rsidRPr="00C01197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3B26E7" w:rsidRPr="00A84F2A" w:rsidRDefault="003B26E7" w:rsidP="003B26E7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</w:t>
      </w:r>
      <w:proofErr w:type="gramStart"/>
      <w:r w:rsidRPr="00A84F2A">
        <w:rPr>
          <w:rFonts w:ascii="PT Astra Serif" w:hAnsi="PT Astra Serif"/>
          <w:sz w:val="25"/>
          <w:szCs w:val="25"/>
        </w:rPr>
        <w:t>позднее</w:t>
      </w:r>
      <w:proofErr w:type="gramEnd"/>
      <w:r w:rsidRPr="00A84F2A">
        <w:rPr>
          <w:rFonts w:ascii="PT Astra Serif" w:hAnsi="PT Astra Serif"/>
          <w:sz w:val="25"/>
          <w:szCs w:val="25"/>
        </w:rPr>
        <w:t xml:space="preserve">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3B26E7" w:rsidRPr="00A84F2A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3B26E7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3B26E7" w:rsidRPr="00A84F2A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3B26E7" w:rsidRPr="00A84F2A" w:rsidRDefault="003B26E7" w:rsidP="003B26E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3B26E7" w:rsidRPr="00A84F2A" w:rsidRDefault="003B26E7" w:rsidP="003B26E7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3B26E7" w:rsidRPr="00A84F2A" w:rsidTr="00655C9E">
        <w:tc>
          <w:tcPr>
            <w:tcW w:w="7574" w:type="dxa"/>
            <w:gridSpan w:val="2"/>
            <w:shd w:val="clear" w:color="auto" w:fill="FFC000"/>
          </w:tcPr>
          <w:p w:rsidR="003B26E7" w:rsidRPr="00A84F2A" w:rsidRDefault="003B26E7" w:rsidP="00655C9E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3B26E7" w:rsidRPr="00A84F2A" w:rsidTr="00655C9E">
        <w:tc>
          <w:tcPr>
            <w:tcW w:w="3788" w:type="dxa"/>
            <w:tcBorders>
              <w:bottom w:val="single" w:sz="4" w:space="0" w:color="000000"/>
            </w:tcBorders>
          </w:tcPr>
          <w:p w:rsidR="003B26E7" w:rsidRPr="00A84F2A" w:rsidRDefault="003B26E7" w:rsidP="00655C9E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3B26E7" w:rsidRPr="00A84F2A" w:rsidRDefault="003B26E7" w:rsidP="00655C9E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DBE5F1" w:themeFill="accent1" w:themeFillTint="33"/>
          </w:tcPr>
          <w:p w:rsidR="003B26E7" w:rsidRPr="00D227C3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26E7" w:rsidRPr="00A84F2A" w:rsidTr="00655C9E">
        <w:tc>
          <w:tcPr>
            <w:tcW w:w="3788" w:type="dxa"/>
            <w:shd w:val="clear" w:color="auto" w:fill="FFFFFF" w:themeFill="background1"/>
          </w:tcPr>
          <w:p w:rsidR="003B26E7" w:rsidRPr="0000330F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3B26E7" w:rsidRPr="00F84B10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 xml:space="preserve">неонатальный скрининг на врожденный гипотиреоз, </w:t>
            </w:r>
            <w:proofErr w:type="spellStart"/>
            <w:r w:rsidRPr="00F84B10">
              <w:rPr>
                <w:rFonts w:ascii="PT Astra Serif" w:hAnsi="PT Astra Serif"/>
              </w:rPr>
              <w:t>фенилкетонурию</w:t>
            </w:r>
            <w:proofErr w:type="spellEnd"/>
            <w:r w:rsidRPr="00F84B10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F84B10">
              <w:rPr>
                <w:rFonts w:ascii="PT Astra Serif" w:hAnsi="PT Astra Serif"/>
              </w:rPr>
              <w:t>муковисцидоз</w:t>
            </w:r>
            <w:proofErr w:type="spellEnd"/>
            <w:r w:rsidRPr="00F84B10">
              <w:rPr>
                <w:rFonts w:ascii="PT Astra Serif" w:hAnsi="PT Astra Serif"/>
              </w:rPr>
              <w:t xml:space="preserve"> и </w:t>
            </w:r>
            <w:proofErr w:type="spellStart"/>
            <w:r w:rsidRPr="00F84B10"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3B26E7" w:rsidRPr="00F84B10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 w:rsidRPr="00F84B10">
              <w:rPr>
                <w:rFonts w:ascii="PT Astra Serif" w:hAnsi="PT Astra Serif"/>
              </w:rPr>
              <w:t>аудиологический</w:t>
            </w:r>
            <w:proofErr w:type="spellEnd"/>
            <w:r w:rsidRPr="00F84B10">
              <w:rPr>
                <w:rFonts w:ascii="PT Astra Serif" w:hAnsi="PT Astra Serif"/>
              </w:rPr>
              <w:t xml:space="preserve">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DBE5F1" w:themeFill="accent1" w:themeFillTint="33"/>
          </w:tcPr>
          <w:p w:rsidR="003B26E7" w:rsidRPr="0000330F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3B26E7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proofErr w:type="spellStart"/>
            <w:r w:rsidRPr="00A84F2A">
              <w:rPr>
                <w:rFonts w:ascii="PT Astra Serif" w:hAnsi="PT Astra Serif"/>
              </w:rPr>
              <w:t>нейросонография</w:t>
            </w:r>
            <w:proofErr w:type="spellEnd"/>
            <w:r w:rsidRPr="00A84F2A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FFFFFF" w:themeFill="background1"/>
          </w:tcPr>
          <w:p w:rsidR="003B26E7" w:rsidRPr="0000330F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3B26E7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DBE5F1" w:themeFill="accent1" w:themeFillTint="33"/>
          </w:tcPr>
          <w:p w:rsidR="003B26E7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3B26E7" w:rsidRPr="0000330F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BE5F1" w:themeFill="accent1" w:themeFillTint="33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FFFFFF" w:themeFill="background1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3B26E7" w:rsidRPr="00A84F2A" w:rsidTr="00655C9E">
        <w:tc>
          <w:tcPr>
            <w:tcW w:w="7574" w:type="dxa"/>
            <w:gridSpan w:val="2"/>
            <w:shd w:val="clear" w:color="auto" w:fill="FFC000"/>
          </w:tcPr>
          <w:p w:rsidR="003B26E7" w:rsidRPr="00A84F2A" w:rsidRDefault="003B26E7" w:rsidP="00655C9E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DBE5F1" w:themeFill="accent1" w:themeFillTint="33"/>
          </w:tcPr>
          <w:p w:rsidR="003B26E7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3B26E7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3B26E7" w:rsidRPr="00D227C3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3B26E7" w:rsidRPr="00A84F2A" w:rsidTr="00655C9E">
        <w:tc>
          <w:tcPr>
            <w:tcW w:w="3788" w:type="dxa"/>
            <w:shd w:val="clear" w:color="auto" w:fill="FFFFFF" w:themeFill="background1"/>
          </w:tcPr>
          <w:p w:rsidR="003B26E7" w:rsidRPr="00F84B10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B26E7" w:rsidRPr="00A84F2A" w:rsidTr="00655C9E">
        <w:tc>
          <w:tcPr>
            <w:tcW w:w="3788" w:type="dxa"/>
            <w:shd w:val="clear" w:color="auto" w:fill="DBE5F1" w:themeFill="accent1" w:themeFillTint="33"/>
          </w:tcPr>
          <w:p w:rsidR="003B26E7" w:rsidRPr="00F84B10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акушер-гинеколог (для девочек) и детский уролог-</w:t>
            </w:r>
            <w:proofErr w:type="spellStart"/>
            <w:r w:rsidRPr="00A84F2A">
              <w:rPr>
                <w:rFonts w:ascii="PT Astra Serif" w:hAnsi="PT Astra Serif"/>
              </w:rPr>
              <w:t>андролог</w:t>
            </w:r>
            <w:proofErr w:type="spellEnd"/>
            <w:r w:rsidRPr="00A84F2A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B26E7" w:rsidRPr="00A84F2A" w:rsidTr="00655C9E">
        <w:tc>
          <w:tcPr>
            <w:tcW w:w="3788" w:type="dxa"/>
            <w:shd w:val="clear" w:color="auto" w:fill="FFFFFF" w:themeFill="background1"/>
          </w:tcPr>
          <w:p w:rsidR="003B26E7" w:rsidRPr="00F84B10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3B26E7" w:rsidRPr="00A84F2A" w:rsidRDefault="003B26E7" w:rsidP="00655C9E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3B26E7" w:rsidRDefault="003B26E7" w:rsidP="003B26E7">
      <w:pPr>
        <w:jc w:val="both"/>
        <w:rPr>
          <w:sz w:val="28"/>
          <w:szCs w:val="28"/>
        </w:rPr>
      </w:pPr>
    </w:p>
    <w:p w:rsidR="00D43FEE" w:rsidRDefault="00D43FEE"/>
    <w:sectPr w:rsidR="00D43FEE" w:rsidSect="00A84F2A">
      <w:pgSz w:w="16838" w:h="11906" w:orient="landscape" w:code="9"/>
      <w:pgMar w:top="426" w:right="536" w:bottom="426" w:left="426" w:header="0" w:footer="970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E7"/>
    <w:rsid w:val="003B26E7"/>
    <w:rsid w:val="00585FC1"/>
    <w:rsid w:val="00D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Бредихина Галина Николаевна</cp:lastModifiedBy>
  <cp:revision>2</cp:revision>
  <cp:lastPrinted>2020-02-18T10:04:00Z</cp:lastPrinted>
  <dcterms:created xsi:type="dcterms:W3CDTF">2019-06-04T11:39:00Z</dcterms:created>
  <dcterms:modified xsi:type="dcterms:W3CDTF">2020-02-18T10:04:00Z</dcterms:modified>
</cp:coreProperties>
</file>